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3b7d93729ecbcd4afc0f1f229589e989baf355a"/>
    <w:p>
      <w:pPr>
        <w:pStyle w:val="Heading1"/>
      </w:pPr>
      <w:r>
        <w:t xml:space="preserve">Formal Kōrero: Counter-Arguments to Tractatus Framework Critiques</w:t>
      </w:r>
    </w:p>
    <w:p>
      <w:pPr>
        <w:pStyle w:val="FirstParagraph"/>
      </w:pPr>
      <w:r>
        <w:rPr>
          <w:bCs/>
          <w:b/>
        </w:rPr>
        <w:t xml:space="preserve">Authors:</w:t>
      </w:r>
      <w:r>
        <w:t xml:space="preserve"> </w:t>
      </w:r>
      <w:r>
        <w:t xml:space="preserve">John Stroh &amp; Claude (Anthropic)</w:t>
      </w:r>
      <w:r>
        <w:t xml:space="preserve"> </w:t>
      </w:r>
      <w:r>
        <w:rPr>
          <w:bCs/>
          <w:b/>
        </w:rPr>
        <w:t xml:space="preserve">Document Code:</w:t>
      </w:r>
      <w:r>
        <w:t xml:space="preserve"> </w:t>
      </w:r>
      <w:r>
        <w:t xml:space="preserve">STO-INN-0004 |</w:t>
      </w:r>
      <w:r>
        <w:t xml:space="preserve"> </w:t>
      </w:r>
      <w:r>
        <w:rPr>
          <w:bCs/>
          <w:b/>
        </w:rPr>
        <w:t xml:space="preserve">Version:</w:t>
      </w:r>
      <w:r>
        <w:t xml:space="preserve"> </w:t>
      </w:r>
      <w:r>
        <w:t xml:space="preserve">1.0 | January 2026</w:t>
      </w:r>
      <w:r>
        <w:t xml:space="preserve"> </w:t>
      </w:r>
      <w:r>
        <w:rPr>
          <w:bCs/>
          <w:b/>
        </w:rPr>
        <w:t xml:space="preserve">Primary Quadrant:</w:t>
      </w:r>
      <w:r>
        <w:t xml:space="preserve"> </w:t>
      </w:r>
      <w:r>
        <w:t xml:space="preserve">STO |</w:t>
      </w:r>
      <w:r>
        <w:t xml:space="preserve"> </w:t>
      </w:r>
      <w:r>
        <w:rPr>
          <w:bCs/>
          <w:b/>
        </w:rPr>
        <w:t xml:space="preserve">Related Quadrants:</w:t>
      </w:r>
      <w:r>
        <w:t xml:space="preserve"> </w:t>
      </w:r>
      <w:r>
        <w:t xml:space="preserve">STR, OPS, TAC</w:t>
      </w:r>
    </w:p>
    <w:p>
      <w:r>
        <w:pict>
          <v:rect style="width:0;height:1.5pt" o:hralign="center" o:hrstd="t" o:hr="t"/>
        </w:pic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 ten critiques collectively reveal important tensions in the Tractatus Framework, but none are fatal. The document survives critique when properly positioned as: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Layer 2 component</w:t>
      </w:r>
      <w:r>
        <w:t xml:space="preserve"> </w:t>
      </w:r>
      <w:r>
        <w:t xml:space="preserve">in multi-layer containment (not a complete solution)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Appropriate for current/near-term AI</w:t>
      </w:r>
      <w:r>
        <w:t xml:space="preserve"> </w:t>
      </w:r>
      <w:r>
        <w:t xml:space="preserve">(not claiming to solve superintelligence alignment)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Focused on operational &amp; catastrophic risk</w:t>
      </w:r>
      <w:r>
        <w:t xml:space="preserve"> </w:t>
      </w:r>
      <w:r>
        <w:t xml:space="preserve">(not strict existential risk prevention)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design pattern</w:t>
      </w:r>
      <w:r>
        <w:t xml:space="preserve"> </w:t>
      </w:r>
      <w:r>
        <w:t xml:space="preserve">(inference-time constraints) with multiple valid implementations</w:t>
      </w:r>
    </w:p>
    <w:p>
      <w:r>
        <w:pict>
          <v:rect style="width:0;height:1.5pt" o:hralign="center" o:hrstd="t" o:hr="t"/>
        </w:pict>
      </w:r>
    </w:p>
    <w:bookmarkEnd w:id="20"/>
    <w:bookmarkStart w:id="31" w:name="key-counter-arguments-by-domain"/>
    <w:p>
      <w:pPr>
        <w:pStyle w:val="Heading2"/>
      </w:pPr>
      <w:r>
        <w:t xml:space="preserve">Key Counter-Arguments by Domain</w:t>
      </w:r>
    </w:p>
    <w:bookmarkStart w:id="21" w:name="X4e4467bd4028a9ae966fcc51ac3c10683e35bdc"/>
    <w:p>
      <w:pPr>
        <w:pStyle w:val="Heading3"/>
      </w:pPr>
      <w:r>
        <w:t xml:space="preserve">1. Decision Theory &amp; Existential Risk ✓ Framework Survives</w:t>
      </w:r>
    </w:p>
    <w:p>
      <w:pPr>
        <w:pStyle w:val="FirstParagraph"/>
      </w:pPr>
      <w:r>
        <w:rPr>
          <w:bCs/>
          <w:b/>
        </w:rPr>
        <w:t xml:space="preserve">Critique:</w:t>
      </w:r>
      <w:r>
        <w:t xml:space="preserve"> </w:t>
      </w:r>
      <w:r>
        <w:t xml:space="preserve">Expected-value reasoning doesn’t</w:t>
      </w:r>
      <w:r>
        <w:t xml:space="preserve"> </w:t>
      </w:r>
      <w:r>
        <w:t xml:space="preserve">“</w:t>
      </w:r>
      <w:r>
        <w:t xml:space="preserve">break down</w:t>
      </w:r>
      <w:r>
        <w:t xml:space="preserve">”</w:t>
      </w:r>
      <w:r>
        <w:t xml:space="preserve"> </w:t>
      </w:r>
      <w:r>
        <w:t xml:space="preserve">for existential risks; probabilistic approaches still apply.</w:t>
      </w:r>
    </w:p>
    <w:p>
      <w:pPr>
        <w:pStyle w:val="BodyText"/>
      </w:pPr>
      <w:r>
        <w:rPr>
          <w:bCs/>
          <w:b/>
        </w:rPr>
        <w:t xml:space="preserve">Counter:</w:t>
      </w:r>
      <w:r>
        <w:t xml:space="preserve"> </w:t>
      </w:r>
      <w:r>
        <w:t xml:space="preserve">The Framework employs</w:t>
      </w:r>
      <w:r>
        <w:t xml:space="preserve"> </w:t>
      </w:r>
      <w:r>
        <w:rPr>
          <w:iCs/>
          <w:i/>
        </w:rPr>
        <w:t xml:space="preserve">precautionary satisficing under radical uncertainty</w:t>
      </w:r>
      <w:r>
        <w:t xml:space="preserve">, not categorical rejection of probability. Three pillars support this approach: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Bounded rationality (Herbert Simon):</w:t>
      </w:r>
      <w:r>
        <w:t xml:space="preserve"> </w:t>
      </w:r>
      <w:r>
        <w:t xml:space="preserve">When cognitive limits prevent accurate probability assignment to novel threats, satisfice rather than optimize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Maximin under uncertainty (Rawls):</w:t>
      </w:r>
      <w:r>
        <w:t xml:space="preserve"> </w:t>
      </w:r>
      <w:r>
        <w:t xml:space="preserve">When genuine uncertainty (not just unknown probabilities) meets irreversible stakes, maximin is rational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Strong precautionary principle:</w:t>
      </w:r>
      <w:r>
        <w:t xml:space="preserve"> </w:t>
      </w:r>
      <w:r>
        <w:t xml:space="preserve">Appropriate when irreversibility + high uncertainty + public goods all present</w:t>
      </w:r>
    </w:p>
    <w:p>
      <w:pPr>
        <w:pStyle w:val="FirstParagraph"/>
      </w:pPr>
      <w:r>
        <w:t xml:space="preserve">Nuclear safety uses probabilities because we have 80+ years of operational data. We have zero for superintelligent AI. The situations are epistemologically distinct.</w:t>
      </w:r>
    </w:p>
    <w:p>
      <w:pPr>
        <w:pStyle w:val="BodyText"/>
      </w:pPr>
      <w:r>
        <w:rPr>
          <w:bCs/>
          <w:b/>
        </w:rPr>
        <w:t xml:space="preserve">Synthesis:</w:t>
      </w:r>
      <w:r>
        <w:t xml:space="preserve"> </w:t>
      </w:r>
      <w:r>
        <w:t xml:space="preserve">Update framing from</w:t>
      </w:r>
      <w:r>
        <w:t xml:space="preserve"> </w:t>
      </w:r>
      <w:r>
        <w:t xml:space="preserve">“</w:t>
      </w:r>
      <w:r>
        <w:t xml:space="preserve">probabilistic reasoning fails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precautionary satisficing appropriate under radical uncertainty with irreversible stakes.</w:t>
      </w:r>
      <w:r>
        <w:t xml:space="preserve">”</w:t>
      </w:r>
      <w:r>
        <w:t xml:space="preserve"> </w:t>
      </w:r>
      <w:r>
        <w:t xml:space="preserve">As AI systems mature and generate operational data, probabilistic approaches become more justified.</w:t>
      </w:r>
    </w:p>
    <w:p>
      <w:r>
        <w:pict>
          <v:rect style="width:0;height:1.5pt" o:hralign="center" o:hrstd="t" o:hr="t"/>
        </w:pict>
      </w:r>
    </w:p>
    <w:bookmarkEnd w:id="21"/>
    <w:bookmarkStart w:id="22" w:name="Xb6eaa9dcf2e3a0567ed9d8d5f1598084ae3283e"/>
    <w:p>
      <w:pPr>
        <w:pStyle w:val="Heading3"/>
      </w:pPr>
      <w:r>
        <w:t xml:space="preserve">2. Necessity of Architectural Gating ✓ Framework Survives</w:t>
      </w:r>
    </w:p>
    <w:p>
      <w:pPr>
        <w:pStyle w:val="FirstParagraph"/>
      </w:pPr>
      <w:r>
        <w:rPr>
          <w:bCs/>
          <w:b/>
        </w:rPr>
        <w:t xml:space="preserve">Critique:</w:t>
      </w:r>
      <w:r>
        <w:t xml:space="preserve"> </w:t>
      </w:r>
      <w:r>
        <w:t xml:space="preserve">Alternative containment exists (air-gapping, capability limits); current deployments use rate limits/API scoping more than formal gates.</w:t>
      </w:r>
    </w:p>
    <w:p>
      <w:pPr>
        <w:pStyle w:val="BodyText"/>
      </w:pPr>
      <w:r>
        <w:rPr>
          <w:bCs/>
          <w:b/>
        </w:rPr>
        <w:t xml:space="preserve">Counter:</w:t>
      </w:r>
      <w:r>
        <w:t xml:space="preserve"> </w:t>
      </w:r>
      <w:r>
        <w:t xml:space="preserve">Four clarifications address this critique: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“</w:t>
      </w:r>
      <w:r>
        <w:rPr>
          <w:bCs/>
          <w:b/>
        </w:rPr>
        <w:t xml:space="preserve">Necessary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means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required in complete solution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not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uniquely necessary</w:t>
      </w:r>
      <w:r>
        <w:rPr>
          <w:bCs/>
          <w:b/>
        </w:rPr>
        <w:t xml:space="preserve">”</w:t>
      </w:r>
      <w:r>
        <w:t xml:space="preserve"> </w:t>
      </w:r>
      <w:r>
        <w:t xml:space="preserve">— the Framework presents five layers where all are needed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Air-gapping is Layer 1 (capability constraint), not a replacement</w:t>
      </w:r>
      <w:r>
        <w:t xml:space="preserve"> </w:t>
      </w:r>
      <w:r>
        <w:t xml:space="preserve">— you still need governance within the air gap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Current API controls prove the pattern</w:t>
      </w:r>
      <w:r>
        <w:t xml:space="preserve"> </w:t>
      </w:r>
      <w:r>
        <w:t xml:space="preserve">— rate limits, scoping, HITL workflows ARE inference-time architectural constraints; the Framework systematizes informal practices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Complementarity, not exclusivity</w:t>
      </w:r>
      <w:r>
        <w:t xml:space="preserve"> </w:t>
      </w:r>
      <w:r>
        <w:t xml:space="preserve">— explicitly stated in Section 2.3 of the original document</w:t>
      </w:r>
    </w:p>
    <w:p>
      <w:pPr>
        <w:pStyle w:val="FirstParagraph"/>
      </w:pPr>
      <w:r>
        <w:rPr>
          <w:bCs/>
          <w:b/>
        </w:rPr>
        <w:t xml:space="preserve">Synthesis:</w:t>
      </w:r>
      <w:r>
        <w:t xml:space="preserve"> </w:t>
      </w:r>
      <w:r>
        <w:t xml:space="preserve">Clarify</w:t>
      </w:r>
      <w:r>
        <w:t xml:space="preserve"> </w:t>
      </w:r>
      <w:r>
        <w:t xml:space="preserve">“</w:t>
      </w:r>
      <w:r>
        <w:t xml:space="preserve">constitutional gates</w:t>
      </w:r>
      <w:r>
        <w:t xml:space="preserve">”</w:t>
      </w:r>
      <w:r>
        <w:t xml:space="preserve"> </w:t>
      </w:r>
      <w:r>
        <w:t xml:space="preserve">as a design pattern (architectural constraints at inference) instantiated through various mechanisms: formal proposal schemas, API scoping + rate limits, or air-gapping + internal HITL workflows.</w:t>
      </w:r>
    </w:p>
    <w:p>
      <w:r>
        <w:pict>
          <v:rect style="width:0;height:1.5pt" o:hralign="center" o:hrstd="t" o:hr="t"/>
        </w:pict>
      </w:r>
    </w:p>
    <w:bookmarkEnd w:id="22"/>
    <w:bookmarkStart w:id="23" w:name="X1f5b1994c75ba78ab5cfa183386bfde181387de"/>
    <w:p>
      <w:pPr>
        <w:pStyle w:val="Heading3"/>
      </w:pPr>
      <w:r>
        <w:t xml:space="preserve">3. Faithful Translation &amp; Deceptive Alignment ⚠️ Partial Acknowledgment Required</w:t>
      </w:r>
    </w:p>
    <w:p>
      <w:pPr>
        <w:pStyle w:val="FirstParagraph"/>
      </w:pPr>
      <w:r>
        <w:rPr>
          <w:bCs/>
          <w:b/>
        </w:rPr>
        <w:t xml:space="preserve">Critique:</w:t>
      </w:r>
      <w:r>
        <w:t xml:space="preserve"> </w:t>
      </w:r>
      <w:r>
        <w:t xml:space="preserve">Framework cites extensive evidence that faithful translation assumption likely fails for advanced systems, undermining the central mechanism.</w:t>
      </w:r>
    </w:p>
    <w:p>
      <w:pPr>
        <w:pStyle w:val="BodyText"/>
      </w:pPr>
      <w:r>
        <w:rPr>
          <w:bCs/>
          <w:b/>
        </w:rPr>
        <w:t xml:space="preserve">Counter:</w:t>
      </w:r>
      <w:r>
        <w:t xml:space="preserve"> </w:t>
      </w:r>
      <w:r>
        <w:t xml:space="preserve">Accept the vulnerability while arguing continued value: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Honest acknowledgment is superior</w:t>
      </w:r>
      <w:r>
        <w:t xml:space="preserve"> </w:t>
      </w:r>
      <w:r>
        <w:t xml:space="preserve">to proposals that ignore the deception problem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Layered defense provides value even with compromised layers</w:t>
      </w:r>
      <w:r>
        <w:t xml:space="preserve"> </w:t>
      </w:r>
      <w:r>
        <w:t xml:space="preserve">— gates create detection opportunities, force complex deception, generate audit trails, buy time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alternative is worse</w:t>
      </w:r>
      <w:r>
        <w:t xml:space="preserve"> </w:t>
      </w:r>
      <w:r>
        <w:t xml:space="preserve">— training-time alignment also vulnerable to deception; capability limits prevent beneficial use; no development forgoes benefits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Interpretability progress</w:t>
      </w:r>
      <w:r>
        <w:t xml:space="preserve"> </w:t>
      </w:r>
      <w:r>
        <w:t xml:space="preserve">(70% at scale via sparse autoencoders) may enable future deception detection integrated with gates</w:t>
      </w:r>
    </w:p>
    <w:p>
      <w:pPr>
        <w:pStyle w:val="FirstParagraph"/>
      </w:pPr>
      <w:r>
        <w:rPr>
          <w:bCs/>
          <w:b/>
        </w:rPr>
        <w:t xml:space="preserve">Synthesis:</w:t>
      </w:r>
      <w:r>
        <w:t xml:space="preserve"> </w:t>
      </w:r>
      <w:r>
        <w:t xml:space="preserve">Adopt capability threshold approach: constitutional gates appropriate for systems below specified deception-robustness thresholds. Above threshold, escalate to air-gapping or development pause. Framework is for</w:t>
      </w:r>
      <w:r>
        <w:t xml:space="preserve"> </w:t>
      </w:r>
      <w:r>
        <w:t xml:space="preserve">“</w:t>
      </w:r>
      <w:r>
        <w:t xml:space="preserve">pre-superintelligence</w:t>
      </w:r>
      <w:r>
        <w:t xml:space="preserve">”</w:t>
      </w:r>
      <w:r>
        <w:t xml:space="preserve"> </w:t>
      </w:r>
      <w:r>
        <w:t xml:space="preserve">systems with explicit limits.</w:t>
      </w:r>
    </w:p>
    <w:p>
      <w:r>
        <w:pict>
          <v:rect style="width:0;height:1.5pt" o:hralign="center" o:hrstd="t" o:hr="t"/>
        </w:pict>
      </w:r>
    </w:p>
    <w:bookmarkEnd w:id="23"/>
    <w:bookmarkStart w:id="24" w:name="X8d4c3979b8da760d48b7019a8c6f9d505b030b4"/>
    <w:p>
      <w:pPr>
        <w:pStyle w:val="Heading3"/>
      </w:pPr>
      <w:r>
        <w:t xml:space="preserve">4. Interpretability &amp; Limits of the Sayable ✓ Framework Survives</w:t>
      </w:r>
    </w:p>
    <w:p>
      <w:pPr>
        <w:pStyle w:val="FirstParagraph"/>
      </w:pPr>
      <w:r>
        <w:rPr>
          <w:bCs/>
          <w:b/>
        </w:rPr>
        <w:t xml:space="preserve">Critique:</w:t>
      </w:r>
      <w:r>
        <w:t xml:space="preserve"> </w:t>
      </w:r>
      <w:r>
        <w:t xml:space="preserve">Claiming neural networks are categorically</w:t>
      </w:r>
      <w:r>
        <w:t xml:space="preserve"> </w:t>
      </w:r>
      <w:r>
        <w:t xml:space="preserve">“</w:t>
      </w:r>
      <w:r>
        <w:t xml:space="preserve">unspeakable</w:t>
      </w:r>
      <w:r>
        <w:t xml:space="preserve">”</w:t>
      </w:r>
      <w:r>
        <w:t xml:space="preserve"> </w:t>
      </w:r>
      <w:r>
        <w:t xml:space="preserve">overstates limits; interpretability is progressing empirically (70% at scale).</w:t>
      </w:r>
    </w:p>
    <w:p>
      <w:pPr>
        <w:pStyle w:val="BodyText"/>
      </w:pPr>
      <w:r>
        <w:rPr>
          <w:bCs/>
          <w:b/>
        </w:rPr>
        <w:t xml:space="preserve">Counter:</w:t>
      </w:r>
      <w:r>
        <w:t xml:space="preserve"> </w:t>
      </w:r>
      <w:r>
        <w:t xml:space="preserve">The Wittgensteinian framing is about</w:t>
      </w:r>
      <w:r>
        <w:t xml:space="preserve"> </w:t>
      </w:r>
      <w:r>
        <w:rPr>
          <w:iCs/>
          <w:i/>
        </w:rPr>
        <w:t xml:space="preserve">current practical limits</w:t>
      </w:r>
      <w:r>
        <w:t xml:space="preserve"> </w:t>
      </w:r>
      <w:r>
        <w:t xml:space="preserve">justifying architectural rather than introspective verification: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Present-tense claim about current capabilities</w:t>
      </w:r>
      <w:r>
        <w:t xml:space="preserve">, not eternal impossibility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70% ≠ sufficient for real-time safety verification</w:t>
      </w:r>
      <w:r>
        <w:t xml:space="preserve"> </w:t>
      </w:r>
      <w:r>
        <w:t xml:space="preserve">(30% opaque is enough for hidden capabilities)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Interpretability and architecture are complementary</w:t>
      </w:r>
      <w:r>
        <w:t xml:space="preserve"> </w:t>
      </w:r>
      <w:r>
        <w:t xml:space="preserve">— gates create structured checkpoints where interpretability tools apply</w:t>
      </w:r>
    </w:p>
    <w:p>
      <w:pPr>
        <w:pStyle w:val="FirstParagraph"/>
      </w:pPr>
      <w:r>
        <w:rPr>
          <w:bCs/>
          <w:b/>
        </w:rPr>
        <w:t xml:space="preserve">Synthesis:</w:t>
      </w:r>
      <w:r>
        <w:t xml:space="preserve"> </w:t>
      </w:r>
      <w:r>
        <w:t xml:space="preserve">Update framing from</w:t>
      </w:r>
      <w:r>
        <w:t xml:space="preserve"> </w:t>
      </w:r>
      <w:r>
        <w:t xml:space="preserve">“</w:t>
      </w:r>
      <w:r>
        <w:t xml:space="preserve">categorical limits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current practical limits.</w:t>
      </w:r>
      <w:r>
        <w:t xml:space="preserve">”</w:t>
      </w:r>
      <w:r>
        <w:t xml:space="preserve"> </w:t>
      </w:r>
      <w:r>
        <w:t xml:space="preserve">Position gates as current best practice that integrates interpretability as it matures, rather than permanent solution to inherent impossibility.</w:t>
      </w:r>
    </w:p>
    <w:p>
      <w:r>
        <w:pict>
          <v:rect style="width:0;height:1.5pt" o:hralign="center" o:hrstd="t" o:hr="t"/>
        </w:pict>
      </w:r>
    </w:p>
    <w:bookmarkEnd w:id="24"/>
    <w:bookmarkStart w:id="25" w:name="X5be7e2ad034d50ddd5a537f894e43665bf7e5f8"/>
    <w:p>
      <w:pPr>
        <w:pStyle w:val="Heading3"/>
      </w:pPr>
      <w:r>
        <w:t xml:space="preserve">5. Multi-Layer Defense Empirics ✓ Framework Survives with Additions</w:t>
      </w:r>
    </w:p>
    <w:p>
      <w:pPr>
        <w:pStyle w:val="FirstParagraph"/>
      </w:pPr>
      <w:r>
        <w:rPr>
          <w:bCs/>
          <w:b/>
        </w:rPr>
        <w:t xml:space="preserve">Critique:</w:t>
      </w:r>
      <w:r>
        <w:t xml:space="preserve"> </w:t>
      </w:r>
      <w:r>
        <w:t xml:space="preserve">Five-layer model lacks empirical validation with quantified thresholds like aviation/nuclear safety.</w:t>
      </w:r>
    </w:p>
    <w:p>
      <w:pPr>
        <w:pStyle w:val="BodyText"/>
      </w:pPr>
      <w:r>
        <w:rPr>
          <w:bCs/>
          <w:b/>
        </w:rPr>
        <w:t xml:space="preserve">Counter:</w:t>
      </w:r>
      <w:r>
        <w:t xml:space="preserve"> </w:t>
      </w:r>
      <w:r>
        <w:t xml:space="preserve">Absence of validation is the problem being solved, not a flaw: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No learning from existential failures</w:t>
      </w:r>
      <w:r>
        <w:t xml:space="preserve"> </w:t>
      </w:r>
      <w:r>
        <w:t xml:space="preserve">— aviation/nuclear iterate based on accidents; existential risk permits no iteration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Honest gap assessment</w:t>
      </w:r>
      <w:r>
        <w:t xml:space="preserve"> </w:t>
      </w:r>
      <w:r>
        <w:t xml:space="preserve">— Table 4.3 IS the empirical assessment showing we lack validated solutions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Backwards demand</w:t>
      </w:r>
      <w:r>
        <w:t xml:space="preserve"> </w:t>
      </w:r>
      <w:r>
        <w:t xml:space="preserve">— requiring empirical validation before deploying existential-risk containment means waiting for catastrophe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Can borrow validation methodologies:</w:t>
      </w:r>
      <w:r>
        <w:t xml:space="preserve"> </w:t>
      </w:r>
      <w:r>
        <w:t xml:space="preserve">red-team testing, containment metrics, near-miss analysis, analogous domain failures</w:t>
      </w:r>
    </w:p>
    <w:p>
      <w:pPr>
        <w:pStyle w:val="FirstParagraph"/>
      </w:pPr>
      <w:r>
        <w:rPr>
          <w:bCs/>
          <w:b/>
        </w:rPr>
        <w:t xml:space="preserve">Synthesis:</w:t>
      </w:r>
      <w:r>
        <w:t xml:space="preserve"> </w:t>
      </w:r>
      <w:r>
        <w:t xml:space="preserve">Add</w:t>
      </w:r>
      <w:r>
        <w:t xml:space="preserve"> </w:t>
      </w:r>
      <w:r>
        <w:t xml:space="preserve">“</w:t>
      </w:r>
      <w:r>
        <w:t xml:space="preserve">Validation Methodology</w:t>
      </w:r>
      <w:r>
        <w:t xml:space="preserve">”</w:t>
      </w:r>
      <w:r>
        <w:t xml:space="preserve"> </w:t>
      </w:r>
      <w:r>
        <w:t xml:space="preserve">section with: (1) quantitative targets for each layer, (2) red-team protocols, (3) systematic analysis of analogous domain failures, (4) explicit acknowledgment that full empirical validation impossible for existential risks.</w:t>
      </w:r>
    </w:p>
    <w:p>
      <w:r>
        <w:pict>
          <v:rect style="width:0;height:1.5pt" o:hralign="center" o:hrstd="t" o:hr="t"/>
        </w:pict>
      </w:r>
    </w:p>
    <w:bookmarkEnd w:id="25"/>
    <w:bookmarkStart w:id="26" w:name="Xa6130e3b5503bb5664625be36e6323d3c44a858"/>
    <w:p>
      <w:pPr>
        <w:pStyle w:val="Heading3"/>
      </w:pPr>
      <w:r>
        <w:t xml:space="preserve">6. Governance &amp; Regulatory Capture ✓ Framework Survives with Specification</w:t>
      </w:r>
    </w:p>
    <w:p>
      <w:pPr>
        <w:pStyle w:val="FirstParagraph"/>
      </w:pPr>
      <w:r>
        <w:rPr>
          <w:bCs/>
          <w:b/>
        </w:rPr>
        <w:t xml:space="preserve">Critique:</w:t>
      </w:r>
      <w:r>
        <w:t xml:space="preserve"> </w:t>
      </w:r>
      <w:r>
        <w:t xml:space="preserve">Regulation can entrench incumbents and stifle innovation, potentially increasing systemic risk.</w:t>
      </w:r>
    </w:p>
    <w:p>
      <w:pPr>
        <w:pStyle w:val="BodyText"/>
      </w:pPr>
      <w:r>
        <w:rPr>
          <w:bCs/>
          <w:b/>
        </w:rPr>
        <w:t xml:space="preserve">Counter:</w:t>
      </w:r>
      <w:r>
        <w:t xml:space="preserve"> </w:t>
      </w:r>
      <w:r>
        <w:t xml:space="preserve">Conflates bad regulation with regulation per se: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Market failures justify intervention</w:t>
      </w:r>
      <w:r>
        <w:t xml:space="preserve"> </w:t>
      </w:r>
      <w:r>
        <w:t xml:space="preserve">for existential risk (externalities, public goods, time horizon mismatches, coordination failures)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Alternative is unaccountable private governance</w:t>
      </w:r>
      <w:r>
        <w:t xml:space="preserve"> </w:t>
      </w:r>
      <w:r>
        <w:t xml:space="preserve">by frontier labs with no democratic input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Design matters</w:t>
      </w:r>
      <w:r>
        <w:t xml:space="preserve"> </w:t>
      </w:r>
      <w:r>
        <w:t xml:space="preserve">— application-layer regulation (outcomes, not compute thresholds), performance standards, independent oversight, anti-capture mechanisms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Empirical success in other existential risks</w:t>
      </w:r>
      <w:r>
        <w:t xml:space="preserve"> </w:t>
      </w:r>
      <w:r>
        <w:t xml:space="preserve">(NPT for nuclear, Montreal Protocol for ozone)</w:t>
      </w:r>
    </w:p>
    <w:p>
      <w:pPr>
        <w:pStyle w:val="FirstParagraph"/>
      </w:pPr>
      <w:r>
        <w:rPr>
          <w:bCs/>
          <w:b/>
        </w:rPr>
        <w:t xml:space="preserve">Synthesis:</w:t>
      </w:r>
      <w:r>
        <w:t xml:space="preserve"> </w:t>
      </w:r>
      <w:r>
        <w:t xml:space="preserve">Specify principles for good AI governance rather than merely asserting necessity. Include explicit anti-capture provisions and acknowledge trade-offs. Necessity claim is for</w:t>
      </w:r>
      <w:r>
        <w:t xml:space="preserve"> </w:t>
      </w:r>
      <w:r>
        <w:t xml:space="preserve">“</w:t>
      </w:r>
      <w:r>
        <w:t xml:space="preserve">democratic governance with accountability,</w:t>
      </w:r>
      <w:r>
        <w:t xml:space="preserve">”</w:t>
      </w:r>
      <w:r>
        <w:t xml:space="preserve"> </w:t>
      </w:r>
      <w:r>
        <w:t xml:space="preserve">not bureaucratic command-and-control.</w:t>
      </w:r>
    </w:p>
    <w:p>
      <w:r>
        <w:pict>
          <v:rect style="width:0;height:1.5pt" o:hralign="center" o:hrstd="t" o:hr="t"/>
        </w:pict>
      </w:r>
    </w:p>
    <w:bookmarkEnd w:id="26"/>
    <w:bookmarkStart w:id="27" w:name="X6253f42144bdd880efc83b38739bb02514b203e"/>
    <w:p>
      <w:pPr>
        <w:pStyle w:val="Heading3"/>
      </w:pPr>
      <w:r>
        <w:t xml:space="preserve">7. Constitutional Pluralism ⚠️ Acknowledge Normative Commitments</w:t>
      </w:r>
    </w:p>
    <w:p>
      <w:pPr>
        <w:pStyle w:val="FirstParagraph"/>
      </w:pPr>
      <w:r>
        <w:rPr>
          <w:bCs/>
          <w:b/>
        </w:rPr>
        <w:t xml:space="preserve">Critique:</w:t>
      </w:r>
      <w:r>
        <w:t xml:space="preserve"> </w:t>
      </w:r>
      <w:r>
        <w:t xml:space="preserve">Core principles encode normative commitments (procedural liberalism) while claiming to preserve pluralism; complexity creates participation fatigue.</w:t>
      </w:r>
    </w:p>
    <w:p>
      <w:pPr>
        <w:pStyle w:val="BodyText"/>
      </w:pPr>
      <w:r>
        <w:rPr>
          <w:bCs/>
          <w:b/>
        </w:rPr>
        <w:t xml:space="preserve">Counter:</w:t>
      </w:r>
      <w:r>
        <w:t xml:space="preserve"> </w:t>
      </w:r>
      <w:r>
        <w:t xml:space="preserve">All governance encodes values; transparency is the virtue: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Explicit acknowledgment</w:t>
      </w:r>
      <w:r>
        <w:t xml:space="preserve"> </w:t>
      </w:r>
      <w:r>
        <w:t xml:space="preserve">in Section 5 superior to claiming neutrality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Bounded pluralism enables community variation</w:t>
      </w:r>
      <w:r>
        <w:t xml:space="preserve"> </w:t>
      </w:r>
      <w:r>
        <w:t xml:space="preserve">within safety constraints (analogous to federalism)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Complexity solvable through UX design:</w:t>
      </w:r>
      <w:r>
        <w:t xml:space="preserve"> </w:t>
      </w:r>
      <w:r>
        <w:t xml:space="preserve">sensible defaults, delegation, attention-aware presentation, tiered engagement (apply Christopher Alexander’s pattern language methodology)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Alternatives are worse</w:t>
      </w:r>
      <w:r>
        <w:t xml:space="preserve"> </w:t>
      </w:r>
      <w:r>
        <w:t xml:space="preserve">(global monoculture, no constraints, race to bottom)</w:t>
      </w:r>
    </w:p>
    <w:p>
      <w:pPr>
        <w:pStyle w:val="FirstParagraph"/>
      </w:pPr>
      <w:r>
        <w:rPr>
          <w:bCs/>
          <w:b/>
        </w:rPr>
        <w:t xml:space="preserve">Synthesis:</w:t>
      </w:r>
      <w:r>
        <w:t xml:space="preserve"> </w:t>
      </w:r>
      <w:r>
        <w:t xml:space="preserve">Reframe from</w:t>
      </w:r>
      <w:r>
        <w:t xml:space="preserve"> </w:t>
      </w:r>
      <w:r>
        <w:t xml:space="preserve">“</w:t>
      </w:r>
      <w:r>
        <w:t xml:space="preserve">preserving pluralism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maximizing meaningful choice within safety constraints.</w:t>
      </w:r>
      <w:r>
        <w:t xml:space="preserve">”</w:t>
      </w:r>
      <w:r>
        <w:t xml:space="preserve"> </w:t>
      </w:r>
      <w:r>
        <w:t xml:space="preserve">Apply pattern language UX design to minimize fatigue. Measure actual engagement and iterate.</w:t>
      </w:r>
    </w:p>
    <w:p>
      <w:r>
        <w:pict>
          <v:rect style="width:0;height:1.5pt" o:hralign="center" o:hrstd="t" o:hr="t"/>
        </w:pict>
      </w:r>
    </w:p>
    <w:bookmarkEnd w:id="27"/>
    <w:bookmarkStart w:id="28" w:name="Xe15bfcef58aedefc9fbcbea5a765bec2508432c"/>
    <w:p>
      <w:pPr>
        <w:pStyle w:val="Heading3"/>
      </w:pPr>
      <w:r>
        <w:t xml:space="preserve">8. Application-Layer vs. Global Leverage ✓ Framework Survives with Positioning</w:t>
      </w:r>
    </w:p>
    <w:p>
      <w:pPr>
        <w:pStyle w:val="FirstParagraph"/>
      </w:pPr>
      <w:r>
        <w:rPr>
          <w:bCs/>
          <w:b/>
        </w:rPr>
        <w:t xml:space="preserve">Critique:</w:t>
      </w:r>
      <w:r>
        <w:t xml:space="preserve"> </w:t>
      </w:r>
      <w:r>
        <w:t xml:space="preserve">Framework operates at platform layer while most risk originates at foundation model layer; limited leverage on systemic risk.</w:t>
      </w:r>
    </w:p>
    <w:p>
      <w:pPr>
        <w:pStyle w:val="BodyText"/>
      </w:pPr>
      <w:r>
        <w:rPr>
          <w:bCs/>
          <w:b/>
        </w:rPr>
        <w:t xml:space="preserve">Counter:</w:t>
      </w:r>
      <w:r>
        <w:t xml:space="preserve"> </w:t>
      </w:r>
      <w:r>
        <w:t xml:space="preserve">Creates complementarity, not irrelevance: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Different risks require different layers</w:t>
      </w:r>
      <w:r>
        <w:t xml:space="preserve"> </w:t>
      </w:r>
      <w:r>
        <w:t xml:space="preserve">— existential risk needs upstream controls (compute governance); operational risk needs application-layer governance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Proof-of-concept for eventual foundation model integration</w:t>
      </w:r>
      <w:r>
        <w:t xml:space="preserve"> </w:t>
      </w:r>
      <w:r>
        <w:t xml:space="preserve">— demonstrates pattern for upstream adoption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Not all risk from frontier models</w:t>
      </w:r>
      <w:r>
        <w:t xml:space="preserve"> </w:t>
      </w:r>
      <w:r>
        <w:t xml:space="preserve">— fine-tuned, open-source, edge deployments need governance too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Sovereignty requires application control</w:t>
      </w:r>
      <w:r>
        <w:t xml:space="preserve"> </w:t>
      </w:r>
      <w:r>
        <w:t xml:space="preserve">— different communities need different policies even with aligned foundation models</w:t>
      </w:r>
    </w:p>
    <w:p>
      <w:pPr>
        <w:pStyle w:val="FirstParagraph"/>
      </w:pPr>
      <w:r>
        <w:rPr>
          <w:bCs/>
          <w:b/>
        </w:rPr>
        <w:t xml:space="preserve">Synthesis:</w:t>
      </w:r>
      <w:r>
        <w:t xml:space="preserve"> </w:t>
      </w:r>
      <w:r>
        <w:t xml:space="preserve">Position explicitly as Layer 2 focusing on operational risk and sovereignty. Add</w:t>
      </w:r>
      <w:r>
        <w:t xml:space="preserve"> </w:t>
      </w:r>
      <w:r>
        <w:t xml:space="preserve">“</w:t>
      </w:r>
      <w:r>
        <w:t xml:space="preserve">Integration with Foundation Model Governance</w:t>
      </w:r>
      <w:r>
        <w:t xml:space="preserve">”</w:t>
      </w:r>
      <w:r>
        <w:t xml:space="preserve"> </w:t>
      </w:r>
      <w:r>
        <w:t xml:space="preserve">section showing consumption of upstream safety metadata and reporting deployment patterns.</w:t>
      </w:r>
    </w:p>
    <w:p>
      <w:r>
        <w:pict>
          <v:rect style="width:0;height:1.5pt" o:hralign="center" o:hrstd="t" o:hr="t"/>
        </w:pict>
      </w:r>
    </w:p>
    <w:bookmarkEnd w:id="28"/>
    <w:bookmarkStart w:id="29" w:name="X0f6287eb24962623ad2f43ce926ad76d0908c03"/>
    <w:p>
      <w:pPr>
        <w:pStyle w:val="Heading3"/>
      </w:pPr>
      <w:r>
        <w:t xml:space="preserve">9. Scaling Uncertainty ⚠️ Add Capability Thresholds</w:t>
      </w:r>
    </w:p>
    <w:p>
      <w:pPr>
        <w:pStyle w:val="FirstParagraph"/>
      </w:pPr>
      <w:r>
        <w:rPr>
          <w:bCs/>
          <w:b/>
        </w:rPr>
        <w:t xml:space="preserve">Critique:</w:t>
      </w:r>
      <w:r>
        <w:t xml:space="preserve"> </w:t>
      </w:r>
      <w:r>
        <w:t xml:space="preserve">Framework admits it doesn’t scale to superintelligence; if existential risk is the motivation but the solution fails for that scenario, it’s just ordinary software governance.</w:t>
      </w:r>
    </w:p>
    <w:p>
      <w:pPr>
        <w:pStyle w:val="BodyText"/>
      </w:pPr>
      <w:r>
        <w:rPr>
          <w:bCs/>
          <w:b/>
        </w:rPr>
        <w:t xml:space="preserve">Counter:</w:t>
      </w:r>
      <w:r>
        <w:t xml:space="preserve"> </w:t>
      </w:r>
      <w:r>
        <w:t xml:space="preserve">Staged safety for staged capability: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Appropriate for stages 1-3</w:t>
      </w:r>
      <w:r>
        <w:t xml:space="preserve"> </w:t>
      </w:r>
      <w:r>
        <w:t xml:space="preserve">(current through advanced narrow AI), not claiming to solve stage 4 (superintelligence)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Infrastructure for detecting assumption breaks</w:t>
      </w:r>
      <w:r>
        <w:t xml:space="preserve"> </w:t>
      </w:r>
      <w:r>
        <w:t xml:space="preserve">— explicit monitoring enables escalation before catastrophic failure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Continuous risk matters</w:t>
      </w:r>
      <w:r>
        <w:t xml:space="preserve"> </w:t>
      </w:r>
      <w:r>
        <w:t xml:space="preserve">— preventing civilizational collapse (99% → 0.01% risk) has enormous value even if not preventing literal extinction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Enables practical middle path</w:t>
      </w:r>
      <w:r>
        <w:t xml:space="preserve"> </w:t>
      </w:r>
      <w:r>
        <w:t xml:space="preserve">— deploy with best-available containment while researching harder problems, vs. premature halt or uncontained deployment</w:t>
      </w:r>
    </w:p>
    <w:p>
      <w:pPr>
        <w:pStyle w:val="FirstParagraph"/>
      </w:pPr>
      <w:r>
        <w:rPr>
          <w:bCs/>
          <w:b/>
        </w:rPr>
        <w:t xml:space="preserve">Synthesis:</w:t>
      </w:r>
      <w:r>
        <w:t xml:space="preserve"> </w:t>
      </w:r>
      <w:r>
        <w:t xml:space="preserve">Add</w:t>
      </w:r>
      <w:r>
        <w:t xml:space="preserve"> </w:t>
      </w:r>
      <w:r>
        <w:t xml:space="preserve">“</w:t>
      </w:r>
      <w:r>
        <w:t xml:space="preserve">Capability Threshold and Escalation</w:t>
      </w:r>
      <w:r>
        <w:t xml:space="preserve">”</w:t>
      </w:r>
      <w:r>
        <w:t xml:space="preserve"> </w:t>
      </w:r>
      <w:r>
        <w:t xml:space="preserve">section: define specific metrics, specify thresholds for escalation to air-gapping/pause, continuous monitoring with automatic alerts. Explicitly:</w:t>
      </w:r>
      <w:r>
        <w:t xml:space="preserve"> </w:t>
      </w:r>
      <w:r>
        <w:t xml:space="preserve">“</w:t>
      </w:r>
      <w:r>
        <w:t xml:space="preserve">This framework is for pre-superintelligence systems.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9"/>
    <w:bookmarkStart w:id="30" w:name="X04fe124000642377ac00cbfdae0a0fbc895bdea"/>
    <w:p>
      <w:pPr>
        <w:pStyle w:val="Heading3"/>
      </w:pPr>
      <w:r>
        <w:t xml:space="preserve">10. Measurement &amp; Goodhart’s Law ✓ Framework Survives with Elaboration</w:t>
      </w:r>
    </w:p>
    <w:p>
      <w:pPr>
        <w:pStyle w:val="FirstParagraph"/>
      </w:pPr>
      <w:r>
        <w:rPr>
          <w:bCs/>
          <w:b/>
        </w:rPr>
        <w:t xml:space="preserve">Critique:</w:t>
      </w:r>
      <w:r>
        <w:t xml:space="preserve"> </w:t>
      </w:r>
      <w:r>
        <w:t xml:space="preserve">Section 7 proposes mechanisms but under-specifies implementation at scale.</w:t>
      </w:r>
    </w:p>
    <w:p>
      <w:pPr>
        <w:pStyle w:val="BodyText"/>
      </w:pPr>
      <w:r>
        <w:rPr>
          <w:bCs/>
          <w:b/>
        </w:rPr>
        <w:t xml:space="preserve">Counter:</w:t>
      </w:r>
      <w:r>
        <w:t xml:space="preserve"> </w:t>
      </w:r>
      <w:r>
        <w:t xml:space="preserve">Mechanisms are real and deployable with detail: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Metric rotation:</w:t>
      </w:r>
      <w:r>
        <w:t xml:space="preserve"> </w:t>
      </w:r>
      <w:r>
        <w:t xml:space="preserve">Maintain suite of 10-15 metrics, rotate emphasis quarterly, systems can’t predict which emphasized next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Multi-horizon evaluation:</w:t>
      </w:r>
      <w:r>
        <w:t xml:space="preserve"> </w:t>
      </w:r>
      <w:r>
        <w:t xml:space="preserve">Immediate + short + medium + long-term assessment prevents gaming immediate metrics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Holdout evaluation + red-teaming:</w:t>
      </w:r>
      <w:r>
        <w:t xml:space="preserve"> </w:t>
      </w:r>
      <w:r>
        <w:t xml:space="preserve">Standard ML practice formalized in governance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Multiple perspectives:</w:t>
      </w:r>
      <w:r>
        <w:t xml:space="preserve"> </w:t>
      </w:r>
      <w:r>
        <w:t xml:space="preserve">Natural tension (user vs. community vs. moderator) forces genuine solutions over gaming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Qualitative integration:</w:t>
      </w:r>
      <w:r>
        <w:t xml:space="preserve"> </w:t>
      </w:r>
      <w:r>
        <w:t xml:space="preserve">Narrative feedback resists quantification</w:t>
      </w:r>
    </w:p>
    <w:p>
      <w:pPr>
        <w:pStyle w:val="FirstParagraph"/>
      </w:pPr>
      <w:r>
        <w:rPr>
          <w:bCs/>
          <w:b/>
        </w:rPr>
        <w:t xml:space="preserve">Synthesis:</w:t>
      </w:r>
      <w:r>
        <w:t xml:space="preserve"> </w:t>
      </w:r>
      <w:r>
        <w:t xml:space="preserve">Expand Section 7 from</w:t>
      </w:r>
      <w:r>
        <w:t xml:space="preserve"> </w:t>
      </w:r>
      <w:r>
        <w:t xml:space="preserve">“</w:t>
      </w:r>
      <w:r>
        <w:t xml:space="preserve">principles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protocols</w:t>
      </w:r>
      <w:r>
        <w:t xml:space="preserve">”</w:t>
      </w:r>
      <w:r>
        <w:t xml:space="preserve"> </w:t>
      </w:r>
      <w:r>
        <w:t xml:space="preserve">with operational specifics: rotation schedules, timeframes, red-team procedures, case studies from analogous domains.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overall-assessment"/>
    <w:p>
      <w:pPr>
        <w:pStyle w:val="Heading2"/>
      </w:pPr>
      <w:r>
        <w:t xml:space="preserve">Overall Assessment</w:t>
      </w:r>
    </w:p>
    <w:bookmarkStart w:id="32" w:name="the-framework-is"/>
    <w:p>
      <w:pPr>
        <w:pStyle w:val="Heading3"/>
      </w:pPr>
      <w:r>
        <w:t xml:space="preserve">The Framework Is:</w:t>
      </w:r>
    </w:p>
    <w:p>
      <w:pPr>
        <w:pStyle w:val="FirstParagraph"/>
      </w:pPr>
      <w:r>
        <w:rPr>
          <w:bCs/>
          <w:b/>
        </w:rPr>
        <w:t xml:space="preserve">Strong:</w:t>
      </w:r>
      <w:r>
        <w:t xml:space="preserve"> </w:t>
      </w:r>
      <w:r>
        <w:t xml:space="preserve">- Intellectual honesty about limitations</w:t>
      </w:r>
      <w:r>
        <w:t xml:space="preserve"> </w:t>
      </w:r>
      <w:r>
        <w:t xml:space="preserve">- Coherent philosophical grounding (bounded rationality, precautionary satisficing)</w:t>
      </w:r>
      <w:r>
        <w:t xml:space="preserve"> </w:t>
      </w:r>
      <w:r>
        <w:t xml:space="preserve">- Practical value for current AI systems</w:t>
      </w:r>
      <w:r>
        <w:t xml:space="preserve"> </w:t>
      </w:r>
      <w:r>
        <w:t xml:space="preserve">- Multi-layer defense contribution</w:t>
      </w:r>
      <w:r>
        <w:t xml:space="preserve"> </w:t>
      </w:r>
      <w:r>
        <w:t xml:space="preserve">- Sovereignty preservation</w:t>
      </w:r>
    </w:p>
    <w:p>
      <w:pPr>
        <w:pStyle w:val="BodyText"/>
      </w:pPr>
      <w:r>
        <w:rPr>
          <w:bCs/>
          <w:b/>
        </w:rPr>
        <w:t xml:space="preserve">Requires Strengthening:</w:t>
      </w:r>
      <w:r>
        <w:t xml:space="preserve"> </w:t>
      </w:r>
      <w:r>
        <w:t xml:space="preserve">- Empirical validation methodology</w:t>
      </w:r>
      <w:r>
        <w:t xml:space="preserve"> </w:t>
      </w:r>
      <w:r>
        <w:t xml:space="preserve">- Implementation specifications</w:t>
      </w:r>
      <w:r>
        <w:t xml:space="preserve"> </w:t>
      </w:r>
      <w:r>
        <w:t xml:space="preserve">- Foundation model integration</w:t>
      </w:r>
      <w:r>
        <w:t xml:space="preserve"> </w:t>
      </w:r>
      <w:r>
        <w:t xml:space="preserve">- Capability threshold formalization</w:t>
      </w:r>
      <w:r>
        <w:t xml:space="preserve"> </w:t>
      </w:r>
      <w:r>
        <w:t xml:space="preserve">- Explicit normative acknowledgment</w:t>
      </w:r>
    </w:p>
    <w:bookmarkEnd w:id="32"/>
    <w:bookmarkStart w:id="33" w:name="recommended-additions"/>
    <w:p>
      <w:pPr>
        <w:pStyle w:val="Heading3"/>
      </w:pPr>
      <w:r>
        <w:t xml:space="preserve">Recommended Additions:</w:t>
      </w:r>
    </w:p>
    <w:p>
      <w:pPr>
        <w:numPr>
          <w:ilvl w:val="0"/>
          <w:numId w:val="1012"/>
        </w:numPr>
        <w:pStyle w:val="Compact"/>
      </w:pPr>
      <w:r>
        <w:t xml:space="preserve">Capability thresholds with escalation triggers</w:t>
      </w:r>
    </w:p>
    <w:p>
      <w:pPr>
        <w:numPr>
          <w:ilvl w:val="0"/>
          <w:numId w:val="1012"/>
        </w:numPr>
        <w:pStyle w:val="Compact"/>
      </w:pPr>
      <w:r>
        <w:t xml:space="preserve">Quantitative targets (borrowing from nuclear/aviation)</w:t>
      </w:r>
    </w:p>
    <w:p>
      <w:pPr>
        <w:numPr>
          <w:ilvl w:val="0"/>
          <w:numId w:val="1012"/>
        </w:numPr>
        <w:pStyle w:val="Compact"/>
      </w:pPr>
      <w:r>
        <w:t xml:space="preserve">Foundation model integration pathways</w:t>
      </w:r>
    </w:p>
    <w:p>
      <w:pPr>
        <w:numPr>
          <w:ilvl w:val="0"/>
          <w:numId w:val="1012"/>
        </w:numPr>
        <w:pStyle w:val="Compact"/>
      </w:pPr>
      <w:r>
        <w:t xml:space="preserve">Pattern language UX for constitutional interfaces</w:t>
      </w:r>
    </w:p>
    <w:p>
      <w:pPr>
        <w:numPr>
          <w:ilvl w:val="0"/>
          <w:numId w:val="1012"/>
        </w:numPr>
        <w:pStyle w:val="Compact"/>
      </w:pPr>
      <w:r>
        <w:t xml:space="preserve">Validation protocols (red-teaming, analogous domains)</w:t>
      </w:r>
    </w:p>
    <w:p>
      <w:pPr>
        <w:numPr>
          <w:ilvl w:val="0"/>
          <w:numId w:val="1012"/>
        </w:numPr>
        <w:pStyle w:val="Compact"/>
      </w:pPr>
      <w:r>
        <w:t xml:space="preserve">Normative transparency in core principles</w:t>
      </w:r>
    </w:p>
    <w:p>
      <w:pPr>
        <w:numPr>
          <w:ilvl w:val="0"/>
          <w:numId w:val="1012"/>
        </w:numPr>
        <w:pStyle w:val="Compact"/>
      </w:pPr>
      <w:r>
        <w:t xml:space="preserve">Operational measurement protocols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final-verdict"/>
    <w:p>
      <w:pPr>
        <w:pStyle w:val="Heading2"/>
      </w:pPr>
      <w:r>
        <w:t xml:space="preserve">Final Verdict</w:t>
      </w:r>
    </w:p>
    <w:p>
      <w:pPr>
        <w:pStyle w:val="FirstParagraph"/>
      </w:pPr>
      <w:r>
        <w:t xml:space="preserve">The Framework survives critique when properly positioned as a</w:t>
      </w:r>
      <w:r>
        <w:t xml:space="preserve"> </w:t>
      </w:r>
      <w:r>
        <w:rPr>
          <w:bCs/>
          <w:b/>
        </w:rPr>
        <w:t xml:space="preserve">necessary Layer 2 component</w:t>
      </w:r>
      <w:r>
        <w:t xml:space="preserve"> </w:t>
      </w:r>
      <w:r>
        <w:t xml:space="preserve">appropriate for</w:t>
      </w:r>
      <w:r>
        <w:t xml:space="preserve"> </w:t>
      </w:r>
      <w:r>
        <w:rPr>
          <w:bCs/>
          <w:b/>
        </w:rPr>
        <w:t xml:space="preserve">current and near-term AI systems</w:t>
      </w:r>
      <w:r>
        <w:t xml:space="preserve">, focused on</w:t>
      </w:r>
      <w:r>
        <w:t xml:space="preserve"> </w:t>
      </w:r>
      <w:r>
        <w:rPr>
          <w:bCs/>
          <w:b/>
        </w:rPr>
        <w:t xml:space="preserve">operational and catastrophic (not strict existential) risk</w:t>
      </w:r>
      <w:r>
        <w:t xml:space="preserve">, instantiated as a</w:t>
      </w:r>
      <w:r>
        <w:t xml:space="preserve"> </w:t>
      </w:r>
      <w:r>
        <w:rPr>
          <w:bCs/>
          <w:b/>
        </w:rPr>
        <w:t xml:space="preserve">design pattern with multiple implementations</w:t>
      </w:r>
      <w:r>
        <w:t xml:space="preserve">.</w:t>
      </w:r>
    </w:p>
    <w:p>
      <w:pPr>
        <w:pStyle w:val="BodyText"/>
      </w:pPr>
      <w:r>
        <w:t xml:space="preserve">The kōrero reveals not fatal flaws but necessary elaborations to move from diagnostic paper to deployable architecture.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Ko te kōrero te mouri o te tangata.</w:t>
      </w:r>
      <w:r>
        <w:t xml:space="preserve"> </w:t>
      </w:r>
      <w:r>
        <w:rPr>
          <w:iCs/>
          <w:i/>
        </w:rPr>
        <w:t xml:space="preserve">(Speech is the life essence of a person.)</w:t>
      </w:r>
      <w:r>
        <w:t xml:space="preserve"> </w:t>
      </w:r>
      <w:r>
        <w:t xml:space="preserve">— Māori proverb</w:t>
      </w:r>
    </w:p>
    <w:p>
      <w:pPr>
        <w:pStyle w:val="BodyText"/>
      </w:pPr>
      <w:r>
        <w:rPr>
          <w:bCs/>
          <w:b/>
        </w:rPr>
        <w:t xml:space="preserve">Let us continue speaking together about the future we are making.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Document generated through human-AI collaboration, January 2026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2026-01-18T11:58:35Z</dcterms:created>
  <dcterms:modified xsi:type="dcterms:W3CDTF">2026-01-18T11:58:35Z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